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019F" w:rsidRPr="00D7336A" w:rsidRDefault="00FF56CF" w:rsidP="00FF56CF">
      <w:pPr>
        <w:tabs>
          <w:tab w:val="left" w:pos="6840"/>
        </w:tabs>
        <w:spacing w:after="0" w:line="360" w:lineRule="auto"/>
        <w:ind w:left="708" w:firstLine="709"/>
        <w:jc w:val="right"/>
        <w:outlineLvl w:val="5"/>
        <w:rPr>
          <w:rFonts w:ascii="Arial" w:hAnsi="Arial" w:cs="Arial"/>
          <w:color w:val="4BACC6" w:themeColor="accent5"/>
          <w:sz w:val="24"/>
          <w:szCs w:val="24"/>
        </w:rPr>
      </w:pPr>
      <w:bookmarkStart w:id="0" w:name="_GoBack"/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</w:t>
      </w:r>
      <w:r w:rsidR="00266ADC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                                                        </w:t>
      </w:r>
      <w:r w:rsidR="00C7664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         </w:t>
      </w:r>
      <w:r w:rsidR="00C0019F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</w:t>
      </w:r>
      <w:r w:rsidR="00B84B92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</w:t>
      </w:r>
      <w:r w:rsidR="000A4F5D" w:rsidRPr="00D7336A">
        <w:rPr>
          <w:rFonts w:ascii="Arial" w:hAnsi="Arial" w:cs="Arial"/>
          <w:color w:val="4BACC6" w:themeColor="accent5"/>
          <w:sz w:val="24"/>
          <w:szCs w:val="24"/>
        </w:rPr>
        <w:t xml:space="preserve">  </w:t>
      </w:r>
      <w:r w:rsidR="008D0A3C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</w:t>
      </w:r>
      <w:r w:rsidR="006F5A3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</w:t>
      </w:r>
      <w:r w:rsidR="00F14988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 xml:space="preserve">San Luis Potosí, </w:t>
      </w:r>
      <w:r w:rsidR="002D0070" w:rsidRPr="00D7336A">
        <w:rPr>
          <w:rFonts w:ascii="Arial" w:hAnsi="Arial" w:cs="Arial"/>
          <w:color w:val="4BACC6" w:themeColor="accent5"/>
          <w:sz w:val="24"/>
          <w:szCs w:val="24"/>
        </w:rPr>
        <w:t>S.L.P.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 xml:space="preserve">, </w:t>
      </w:r>
      <w:r w:rsidR="00322003">
        <w:rPr>
          <w:rFonts w:ascii="Arial" w:hAnsi="Arial" w:cs="Arial"/>
          <w:color w:val="4BACC6" w:themeColor="accent5"/>
          <w:sz w:val="24"/>
          <w:szCs w:val="24"/>
        </w:rPr>
        <w:t>c</w:t>
      </w:r>
      <w:r w:rsidR="00E44B4D">
        <w:rPr>
          <w:rFonts w:ascii="Arial" w:hAnsi="Arial" w:cs="Arial"/>
          <w:color w:val="4BACC6" w:themeColor="accent5"/>
          <w:sz w:val="24"/>
          <w:szCs w:val="24"/>
        </w:rPr>
        <w:t>uatro de enero</w:t>
      </w:r>
      <w:r w:rsidR="00322003">
        <w:rPr>
          <w:rFonts w:ascii="Arial" w:hAnsi="Arial" w:cs="Arial"/>
          <w:color w:val="4BACC6" w:themeColor="accent5"/>
          <w:sz w:val="24"/>
          <w:szCs w:val="24"/>
        </w:rPr>
        <w:t xml:space="preserve"> de </w:t>
      </w:r>
      <w:r w:rsidR="00B4587C" w:rsidRPr="00D7336A">
        <w:rPr>
          <w:rFonts w:ascii="Arial" w:hAnsi="Arial" w:cs="Arial"/>
          <w:color w:val="4BACC6" w:themeColor="accent5"/>
          <w:sz w:val="24"/>
          <w:szCs w:val="24"/>
        </w:rPr>
        <w:t>dos mil dieci</w:t>
      </w:r>
      <w:r w:rsidR="00E44B4D">
        <w:rPr>
          <w:rFonts w:ascii="Arial" w:hAnsi="Arial" w:cs="Arial"/>
          <w:color w:val="4BACC6" w:themeColor="accent5"/>
          <w:sz w:val="24"/>
          <w:szCs w:val="24"/>
        </w:rPr>
        <w:t>ocho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>.</w:t>
      </w:r>
      <w:r w:rsidR="006F5A3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</w:t>
      </w:r>
    </w:p>
    <w:p w:rsidR="001C3373" w:rsidRPr="00D7336A" w:rsidRDefault="001C3373" w:rsidP="00791265">
      <w:pPr>
        <w:tabs>
          <w:tab w:val="left" w:pos="6840"/>
        </w:tabs>
        <w:spacing w:after="0" w:line="360" w:lineRule="auto"/>
        <w:outlineLvl w:val="5"/>
        <w:rPr>
          <w:rFonts w:ascii="Arial" w:hAnsi="Arial" w:cs="Arial"/>
          <w:color w:val="4BACC6" w:themeColor="accent5"/>
          <w:sz w:val="24"/>
          <w:szCs w:val="24"/>
        </w:rPr>
      </w:pPr>
    </w:p>
    <w:p w:rsidR="00791265" w:rsidRDefault="0038176B" w:rsidP="00791265">
      <w:pPr>
        <w:spacing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Visto el estado que guardan los presentes autos y de una revisión a las constancias que integran el expediente c</w:t>
      </w:r>
      <w:r w:rsidR="00774BC8" w:rsidRPr="00D7336A">
        <w:rPr>
          <w:rFonts w:ascii="Arial" w:hAnsi="Arial" w:cs="Arial"/>
          <w:color w:val="4BACC6" w:themeColor="accent5"/>
          <w:sz w:val="24"/>
          <w:szCs w:val="24"/>
        </w:rPr>
        <w:t>o</w:t>
      </w:r>
      <w:r w:rsidR="001A14C5" w:rsidRPr="00D7336A">
        <w:rPr>
          <w:rFonts w:ascii="Arial" w:hAnsi="Arial" w:cs="Arial"/>
          <w:color w:val="4BACC6" w:themeColor="accent5"/>
          <w:sz w:val="24"/>
          <w:szCs w:val="24"/>
        </w:rPr>
        <w:t>n fundamento en los artículos 8°, 10°, 27° primer párrafo, 184 y 185 de la Ley de Transparencia y Acceso a la Información Pública del Estado, es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ta Comisión procede a analizar el presente sumario </w:t>
      </w:r>
      <w:r w:rsidR="001A14C5" w:rsidRPr="00D7336A">
        <w:rPr>
          <w:rFonts w:ascii="Arial" w:hAnsi="Arial" w:cs="Arial"/>
          <w:color w:val="4BACC6" w:themeColor="accent5"/>
          <w:sz w:val="24"/>
          <w:szCs w:val="24"/>
        </w:rPr>
        <w:t>a efecto de determinar el cumplimi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>ento o incumplimiento a la resolu</w:t>
      </w:r>
      <w:r w:rsidR="001A3205" w:rsidRPr="00D7336A">
        <w:rPr>
          <w:rFonts w:ascii="Arial" w:hAnsi="Arial" w:cs="Arial"/>
          <w:color w:val="4BACC6" w:themeColor="accent5"/>
          <w:sz w:val="24"/>
          <w:szCs w:val="24"/>
        </w:rPr>
        <w:t>ción dictada en el recurso de rev</w:t>
      </w:r>
      <w:r w:rsidR="00F35188" w:rsidRPr="00D7336A">
        <w:rPr>
          <w:rFonts w:ascii="Arial" w:hAnsi="Arial" w:cs="Arial"/>
          <w:color w:val="4BACC6" w:themeColor="accent5"/>
          <w:sz w:val="24"/>
          <w:szCs w:val="24"/>
        </w:rPr>
        <w:t xml:space="preserve">isión que se </w:t>
      </w:r>
      <w:r w:rsidR="002D371A" w:rsidRPr="00D7336A">
        <w:rPr>
          <w:rFonts w:ascii="Arial" w:hAnsi="Arial" w:cs="Arial"/>
          <w:color w:val="4BACC6" w:themeColor="accent5"/>
          <w:sz w:val="24"/>
          <w:szCs w:val="24"/>
        </w:rPr>
        <w:t>actúa.</w:t>
      </w:r>
    </w:p>
    <w:p w:rsidR="002D371A" w:rsidRDefault="001A14C5" w:rsidP="00791265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En p</w:t>
      </w:r>
      <w:r w:rsidR="002D371A" w:rsidRPr="00D7336A">
        <w:rPr>
          <w:rFonts w:ascii="Arial" w:hAnsi="Arial" w:cs="Arial"/>
          <w:color w:val="4BACC6" w:themeColor="accent5"/>
          <w:sz w:val="24"/>
          <w:szCs w:val="24"/>
        </w:rPr>
        <w:t>rimer lugar, es necesario insertar los efectos dictados en la resolución:</w:t>
      </w:r>
    </w:p>
    <w:p w:rsidR="00322003" w:rsidRPr="00791265" w:rsidRDefault="00322003" w:rsidP="001C3373">
      <w:pPr>
        <w:pStyle w:val="corte4fondo"/>
        <w:tabs>
          <w:tab w:val="left" w:pos="567"/>
        </w:tabs>
        <w:spacing w:after="240" w:line="240" w:lineRule="auto"/>
        <w:rPr>
          <w:rFonts w:cs="Arial"/>
          <w:i/>
          <w:color w:val="4BACC6" w:themeColor="accent5"/>
          <w:sz w:val="20"/>
        </w:rPr>
      </w:pPr>
      <w:r w:rsidRPr="00791265">
        <w:rPr>
          <w:rFonts w:cs="Arial"/>
          <w:i/>
          <w:color w:val="4BACC6" w:themeColor="accent5"/>
          <w:sz w:val="20"/>
        </w:rPr>
        <w:t>“…</w:t>
      </w:r>
      <w:r w:rsidR="00A8474D">
        <w:rPr>
          <w:rFonts w:cs="Arial"/>
          <w:i/>
          <w:color w:val="4BACC6" w:themeColor="accent5"/>
          <w:sz w:val="20"/>
        </w:rPr>
        <w:t>6</w:t>
      </w:r>
      <w:r w:rsidRPr="00791265">
        <w:rPr>
          <w:rFonts w:cs="Arial"/>
          <w:i/>
          <w:color w:val="4BACC6" w:themeColor="accent5"/>
          <w:sz w:val="20"/>
        </w:rPr>
        <w:t>.</w:t>
      </w:r>
      <w:r w:rsidR="00CA5BA0" w:rsidRPr="00791265">
        <w:rPr>
          <w:rFonts w:cs="Arial"/>
          <w:i/>
          <w:color w:val="4BACC6" w:themeColor="accent5"/>
          <w:sz w:val="20"/>
        </w:rPr>
        <w:t>3</w:t>
      </w:r>
      <w:r w:rsidRPr="00791265">
        <w:rPr>
          <w:rFonts w:cs="Arial"/>
          <w:i/>
          <w:color w:val="4BACC6" w:themeColor="accent5"/>
          <w:sz w:val="20"/>
        </w:rPr>
        <w:t xml:space="preserve">. </w:t>
      </w:r>
      <w:r w:rsidR="00A8474D">
        <w:rPr>
          <w:rFonts w:cs="Arial"/>
          <w:i/>
          <w:color w:val="4BACC6" w:themeColor="accent5"/>
          <w:sz w:val="20"/>
        </w:rPr>
        <w:t>E</w:t>
      </w:r>
      <w:r w:rsidR="00E44B4D" w:rsidRPr="00791265">
        <w:rPr>
          <w:rFonts w:cs="Arial"/>
          <w:i/>
          <w:color w:val="4BACC6" w:themeColor="accent5"/>
          <w:sz w:val="20"/>
        </w:rPr>
        <w:t xml:space="preserve">fectos de </w:t>
      </w:r>
      <w:r w:rsidR="00A8474D">
        <w:rPr>
          <w:rFonts w:cs="Arial"/>
          <w:i/>
          <w:color w:val="4BACC6" w:themeColor="accent5"/>
          <w:sz w:val="20"/>
        </w:rPr>
        <w:t xml:space="preserve">esta </w:t>
      </w:r>
      <w:r w:rsidR="00E44B4D" w:rsidRPr="00791265">
        <w:rPr>
          <w:rFonts w:cs="Arial"/>
          <w:i/>
          <w:color w:val="4BACC6" w:themeColor="accent5"/>
          <w:sz w:val="20"/>
        </w:rPr>
        <w:t>resolución</w:t>
      </w:r>
      <w:r w:rsidRPr="00791265">
        <w:rPr>
          <w:rFonts w:cs="Arial"/>
          <w:i/>
          <w:color w:val="4BACC6" w:themeColor="accent5"/>
          <w:sz w:val="20"/>
        </w:rPr>
        <w:t>.</w:t>
      </w:r>
    </w:p>
    <w:p w:rsidR="000C40C1" w:rsidRDefault="00A8474D" w:rsidP="000C40C1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>
        <w:rPr>
          <w:rFonts w:cs="Arial"/>
          <w:i/>
          <w:color w:val="4BACC6" w:themeColor="accent5"/>
          <w:sz w:val="20"/>
        </w:rPr>
        <w:t xml:space="preserve">Por las consideraciones expuestas, está Comisión Estatal de Garantía </w:t>
      </w:r>
      <w:r w:rsidR="000C40C1">
        <w:rPr>
          <w:rFonts w:cs="Arial"/>
          <w:i/>
          <w:color w:val="4BACC6" w:themeColor="accent5"/>
          <w:sz w:val="20"/>
        </w:rPr>
        <w:t xml:space="preserve">de Acceso a la Información Pública del Estado de </w:t>
      </w:r>
      <w:r w:rsidR="00CA5BA0" w:rsidRPr="00791265">
        <w:rPr>
          <w:rFonts w:cs="Arial"/>
          <w:i/>
          <w:color w:val="4BACC6" w:themeColor="accent5"/>
          <w:sz w:val="20"/>
        </w:rPr>
        <w:t xml:space="preserve">conformidad </w:t>
      </w:r>
      <w:r w:rsidR="00467AA8" w:rsidRPr="00791265">
        <w:rPr>
          <w:rFonts w:cs="Arial"/>
          <w:i/>
          <w:color w:val="4BACC6" w:themeColor="accent5"/>
          <w:sz w:val="20"/>
        </w:rPr>
        <w:t>con</w:t>
      </w:r>
      <w:r w:rsidR="00286EF5" w:rsidRPr="00791265">
        <w:rPr>
          <w:rFonts w:cs="Arial"/>
          <w:i/>
          <w:color w:val="4BACC6" w:themeColor="accent5"/>
          <w:sz w:val="20"/>
        </w:rPr>
        <w:t xml:space="preserve"> el </w:t>
      </w:r>
      <w:r w:rsidR="00467AA8" w:rsidRPr="00791265">
        <w:rPr>
          <w:rFonts w:cs="Arial"/>
          <w:i/>
          <w:color w:val="4BACC6" w:themeColor="accent5"/>
          <w:sz w:val="20"/>
        </w:rPr>
        <w:t>artículo</w:t>
      </w:r>
      <w:r w:rsidR="00286EF5" w:rsidRPr="00791265">
        <w:rPr>
          <w:rFonts w:cs="Arial"/>
          <w:i/>
          <w:color w:val="4BACC6" w:themeColor="accent5"/>
          <w:sz w:val="20"/>
        </w:rPr>
        <w:t xml:space="preserve"> 175, fracción lll</w:t>
      </w:r>
      <w:r w:rsidR="00CA5BA0" w:rsidRPr="00791265">
        <w:rPr>
          <w:rFonts w:cs="Arial"/>
          <w:i/>
          <w:color w:val="4BACC6" w:themeColor="accent5"/>
          <w:sz w:val="20"/>
        </w:rPr>
        <w:t>,</w:t>
      </w:r>
      <w:r w:rsidR="00286EF5" w:rsidRPr="00791265">
        <w:rPr>
          <w:rFonts w:cs="Arial"/>
          <w:i/>
          <w:color w:val="4BACC6" w:themeColor="accent5"/>
          <w:sz w:val="20"/>
        </w:rPr>
        <w:t xml:space="preserve"> de la Ley de Transparencia </w:t>
      </w:r>
      <w:r w:rsidR="00467AA8" w:rsidRPr="00791265">
        <w:rPr>
          <w:rFonts w:cs="Arial"/>
          <w:i/>
          <w:color w:val="4BACC6" w:themeColor="accent5"/>
          <w:sz w:val="20"/>
        </w:rPr>
        <w:t xml:space="preserve">y Acceso a la Información </w:t>
      </w:r>
      <w:r w:rsidR="00322003" w:rsidRPr="00791265">
        <w:rPr>
          <w:rFonts w:cs="Arial"/>
          <w:i/>
          <w:color w:val="4BACC6" w:themeColor="accent5"/>
          <w:sz w:val="20"/>
        </w:rPr>
        <w:t>P</w:t>
      </w:r>
      <w:r w:rsidR="00467AA8" w:rsidRPr="00791265">
        <w:rPr>
          <w:rFonts w:cs="Arial"/>
          <w:i/>
          <w:color w:val="4BACC6" w:themeColor="accent5"/>
          <w:sz w:val="20"/>
        </w:rPr>
        <w:t xml:space="preserve">ública del Estado </w:t>
      </w:r>
      <w:r w:rsidR="000C40C1">
        <w:rPr>
          <w:rFonts w:cs="Arial"/>
          <w:b/>
          <w:i/>
          <w:color w:val="4BACC6" w:themeColor="accent5"/>
          <w:sz w:val="20"/>
        </w:rPr>
        <w:t>REVOCA</w:t>
      </w:r>
      <w:r w:rsidR="00467AA8" w:rsidRPr="00791265">
        <w:rPr>
          <w:rFonts w:cs="Arial"/>
          <w:b/>
          <w:i/>
          <w:color w:val="4BACC6" w:themeColor="accent5"/>
          <w:sz w:val="20"/>
        </w:rPr>
        <w:t xml:space="preserve"> </w:t>
      </w:r>
      <w:r w:rsidR="00467AA8" w:rsidRPr="00791265">
        <w:rPr>
          <w:rFonts w:cs="Arial"/>
          <w:i/>
          <w:color w:val="4BACC6" w:themeColor="accent5"/>
          <w:sz w:val="20"/>
        </w:rPr>
        <w:t>la respuesta</w:t>
      </w:r>
      <w:r w:rsidR="00E44B4D" w:rsidRPr="00791265">
        <w:rPr>
          <w:rFonts w:cs="Arial"/>
          <w:i/>
          <w:color w:val="4BACC6" w:themeColor="accent5"/>
          <w:sz w:val="20"/>
        </w:rPr>
        <w:t xml:space="preserve"> </w:t>
      </w:r>
      <w:r w:rsidR="000C40C1">
        <w:rPr>
          <w:rFonts w:cs="Arial"/>
          <w:i/>
          <w:color w:val="4BACC6" w:themeColor="accent5"/>
          <w:sz w:val="20"/>
        </w:rPr>
        <w:t>otorgada</w:t>
      </w:r>
      <w:r w:rsidR="00CA5BA0" w:rsidRPr="00791265">
        <w:rPr>
          <w:rFonts w:cs="Arial"/>
          <w:i/>
          <w:color w:val="4BACC6" w:themeColor="accent5"/>
          <w:sz w:val="20"/>
        </w:rPr>
        <w:t xml:space="preserve"> por </w:t>
      </w:r>
      <w:r w:rsidR="000C40C1">
        <w:rPr>
          <w:rFonts w:cs="Arial"/>
          <w:i/>
          <w:color w:val="4BACC6" w:themeColor="accent5"/>
          <w:sz w:val="20"/>
        </w:rPr>
        <w:t>e</w:t>
      </w:r>
      <w:r w:rsidR="00CA5BA0" w:rsidRPr="00791265">
        <w:rPr>
          <w:rFonts w:cs="Arial"/>
          <w:i/>
          <w:color w:val="4BACC6" w:themeColor="accent5"/>
          <w:sz w:val="20"/>
        </w:rPr>
        <w:t>l</w:t>
      </w:r>
      <w:r w:rsidR="000C40C1">
        <w:rPr>
          <w:rFonts w:cs="Arial"/>
          <w:i/>
          <w:color w:val="4BACC6" w:themeColor="accent5"/>
          <w:sz w:val="20"/>
        </w:rPr>
        <w:t xml:space="preserve"> ente obligado y lo conmina para que:</w:t>
      </w:r>
    </w:p>
    <w:p w:rsidR="000C40C1" w:rsidRDefault="000C40C1" w:rsidP="000C40C1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</w:p>
    <w:p w:rsidR="007B520C" w:rsidRPr="00791265" w:rsidRDefault="000C40C1" w:rsidP="000C40C1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>
        <w:rPr>
          <w:rFonts w:cs="Arial"/>
          <w:i/>
          <w:color w:val="4BACC6" w:themeColor="accent5"/>
          <w:sz w:val="20"/>
        </w:rPr>
        <w:t xml:space="preserve">a) Desclasifique la información peticionada, consistente en el acta de la sesión de Cabildo en el que se declaró la invalidez y nulidad de las determinaciones para el cambio de uso de suelo y modificación del Plan de Centro de Población Estratégico </w:t>
      </w:r>
      <w:r w:rsidR="006F222A">
        <w:rPr>
          <w:rFonts w:cs="Arial"/>
          <w:i/>
          <w:color w:val="4BACC6" w:themeColor="accent5"/>
          <w:sz w:val="20"/>
        </w:rPr>
        <w:t>de las Ciudades de San Luis Potosí y la entregue al particular de manera electrónica</w:t>
      </w:r>
      <w:r w:rsidR="00322003" w:rsidRPr="00791265">
        <w:rPr>
          <w:rFonts w:cs="Arial"/>
          <w:i/>
          <w:color w:val="4BACC6" w:themeColor="accent5"/>
          <w:sz w:val="20"/>
        </w:rPr>
        <w:t>.”</w:t>
      </w:r>
      <w:r w:rsidR="00467AA8" w:rsidRPr="00791265">
        <w:rPr>
          <w:rFonts w:cs="Arial"/>
          <w:i/>
          <w:color w:val="4BACC6" w:themeColor="accent5"/>
          <w:sz w:val="20"/>
        </w:rPr>
        <w:t xml:space="preserve"> </w:t>
      </w:r>
    </w:p>
    <w:p w:rsidR="00803BF0" w:rsidRDefault="00803BF0" w:rsidP="00803BF0">
      <w:pPr>
        <w:pStyle w:val="corte4fondo"/>
        <w:tabs>
          <w:tab w:val="left" w:pos="567"/>
        </w:tabs>
        <w:spacing w:line="240" w:lineRule="auto"/>
        <w:ind w:firstLine="0"/>
        <w:rPr>
          <w:rFonts w:cs="Arial"/>
          <w:i/>
          <w:color w:val="4BACC6" w:themeColor="accent5"/>
          <w:sz w:val="20"/>
        </w:rPr>
      </w:pPr>
    </w:p>
    <w:p w:rsidR="005A774A" w:rsidRPr="00803BF0" w:rsidRDefault="005A774A" w:rsidP="00803BF0">
      <w:pPr>
        <w:pStyle w:val="corte4fondo"/>
        <w:tabs>
          <w:tab w:val="left" w:pos="567"/>
        </w:tabs>
        <w:spacing w:line="240" w:lineRule="auto"/>
        <w:ind w:firstLine="0"/>
        <w:rPr>
          <w:rFonts w:cs="Arial"/>
          <w:i/>
          <w:color w:val="4BACC6" w:themeColor="accent5"/>
          <w:sz w:val="20"/>
        </w:rPr>
      </w:pPr>
    </w:p>
    <w:p w:rsidR="00352A7B" w:rsidRDefault="007A68AD" w:rsidP="001C77AA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Por lo anterior, el</w:t>
      </w:r>
      <w:r w:rsidR="001F0337" w:rsidRPr="00D7336A">
        <w:rPr>
          <w:rFonts w:ascii="Arial" w:hAnsi="Arial" w:cs="Arial"/>
          <w:color w:val="4BACC6" w:themeColor="accent5"/>
          <w:sz w:val="24"/>
          <w:szCs w:val="24"/>
        </w:rPr>
        <w:t xml:space="preserve"> sujeto</w:t>
      </w:r>
      <w:r w:rsidR="00DF5E66" w:rsidRPr="00D7336A">
        <w:rPr>
          <w:rFonts w:ascii="Arial" w:hAnsi="Arial" w:cs="Arial"/>
          <w:color w:val="4BACC6" w:themeColor="accent5"/>
          <w:sz w:val="24"/>
          <w:szCs w:val="24"/>
        </w:rPr>
        <w:t xml:space="preserve"> obl</w:t>
      </w:r>
      <w:r w:rsidR="00763E45" w:rsidRPr="00D7336A">
        <w:rPr>
          <w:rFonts w:ascii="Arial" w:hAnsi="Arial" w:cs="Arial"/>
          <w:color w:val="4BACC6" w:themeColor="accent5"/>
          <w:sz w:val="24"/>
          <w:szCs w:val="24"/>
        </w:rPr>
        <w:t xml:space="preserve">igado a través </w:t>
      </w:r>
      <w:r w:rsidR="007B520C">
        <w:rPr>
          <w:rFonts w:ascii="Arial" w:hAnsi="Arial" w:cs="Arial"/>
          <w:color w:val="4BACC6" w:themeColor="accent5"/>
          <w:sz w:val="24"/>
          <w:szCs w:val="24"/>
        </w:rPr>
        <w:t>del</w:t>
      </w:r>
      <w:r w:rsidR="00381A32" w:rsidRPr="00D7336A">
        <w:rPr>
          <w:rFonts w:ascii="Arial" w:hAnsi="Arial" w:cs="Arial"/>
          <w:color w:val="4BACC6" w:themeColor="accent5"/>
          <w:sz w:val="24"/>
          <w:szCs w:val="24"/>
        </w:rPr>
        <w:t xml:space="preserve"> oficio</w:t>
      </w:r>
      <w:r w:rsidR="007B520C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E12808">
        <w:rPr>
          <w:rFonts w:ascii="Arial" w:hAnsi="Arial" w:cs="Arial"/>
          <w:color w:val="4BACC6" w:themeColor="accent5"/>
          <w:sz w:val="24"/>
          <w:szCs w:val="24"/>
        </w:rPr>
        <w:t>número</w:t>
      </w:r>
      <w:r w:rsidR="009B7254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BE6AF8">
        <w:rPr>
          <w:rFonts w:ascii="Arial" w:hAnsi="Arial" w:cs="Arial"/>
          <w:color w:val="4BACC6" w:themeColor="accent5"/>
          <w:sz w:val="24"/>
          <w:szCs w:val="24"/>
        </w:rPr>
        <w:t>U</w:t>
      </w:r>
      <w:r w:rsidR="006F222A">
        <w:rPr>
          <w:rFonts w:ascii="Arial" w:hAnsi="Arial" w:cs="Arial"/>
          <w:color w:val="4BACC6" w:themeColor="accent5"/>
          <w:sz w:val="24"/>
          <w:szCs w:val="24"/>
        </w:rPr>
        <w:t>.</w:t>
      </w:r>
      <w:r w:rsidR="00BE6AF8">
        <w:rPr>
          <w:rFonts w:ascii="Arial" w:hAnsi="Arial" w:cs="Arial"/>
          <w:color w:val="4BACC6" w:themeColor="accent5"/>
          <w:sz w:val="24"/>
          <w:szCs w:val="24"/>
        </w:rPr>
        <w:t>T</w:t>
      </w:r>
      <w:r w:rsidR="006F222A">
        <w:rPr>
          <w:rFonts w:ascii="Arial" w:hAnsi="Arial" w:cs="Arial"/>
          <w:color w:val="4BACC6" w:themeColor="accent5"/>
          <w:sz w:val="24"/>
          <w:szCs w:val="24"/>
        </w:rPr>
        <w:t>. 1550</w:t>
      </w:r>
      <w:r w:rsidR="009B7254">
        <w:rPr>
          <w:rFonts w:ascii="Arial" w:hAnsi="Arial" w:cs="Arial"/>
          <w:color w:val="4BACC6" w:themeColor="accent5"/>
          <w:sz w:val="24"/>
          <w:szCs w:val="24"/>
        </w:rPr>
        <w:t>/17</w:t>
      </w:r>
      <w:r w:rsidR="00352A7B" w:rsidRPr="00D7336A">
        <w:rPr>
          <w:rFonts w:ascii="Arial" w:hAnsi="Arial" w:cs="Arial"/>
          <w:color w:val="4BACC6" w:themeColor="accent5"/>
          <w:sz w:val="24"/>
          <w:szCs w:val="24"/>
        </w:rPr>
        <w:t xml:space="preserve"> de 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>fecha</w:t>
      </w:r>
      <w:r w:rsidR="00D11CA5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DE5A5C">
        <w:rPr>
          <w:rFonts w:ascii="Arial" w:hAnsi="Arial" w:cs="Arial"/>
          <w:color w:val="4BACC6" w:themeColor="accent5"/>
          <w:sz w:val="24"/>
          <w:szCs w:val="24"/>
        </w:rPr>
        <w:t>veinti</w:t>
      </w:r>
      <w:r w:rsidR="006F222A">
        <w:rPr>
          <w:rFonts w:ascii="Arial" w:hAnsi="Arial" w:cs="Arial"/>
          <w:color w:val="4BACC6" w:themeColor="accent5"/>
          <w:sz w:val="24"/>
          <w:szCs w:val="24"/>
        </w:rPr>
        <w:t xml:space="preserve">siete de junio </w:t>
      </w:r>
      <w:r w:rsidR="00DE5A5C">
        <w:rPr>
          <w:rFonts w:ascii="Arial" w:hAnsi="Arial" w:cs="Arial"/>
          <w:color w:val="4BACC6" w:themeColor="accent5"/>
          <w:sz w:val="24"/>
          <w:szCs w:val="24"/>
        </w:rPr>
        <w:t>de dos mil diecisiet</w:t>
      </w:r>
      <w:r w:rsidR="00B941DB">
        <w:rPr>
          <w:rFonts w:ascii="Arial" w:hAnsi="Arial" w:cs="Arial"/>
          <w:color w:val="4BACC6" w:themeColor="accent5"/>
          <w:sz w:val="24"/>
          <w:szCs w:val="24"/>
        </w:rPr>
        <w:t>e</w:t>
      </w:r>
      <w:r w:rsidR="001A3205" w:rsidRPr="00D7336A">
        <w:rPr>
          <w:rFonts w:ascii="Arial" w:hAnsi="Arial" w:cs="Arial"/>
          <w:color w:val="4BACC6" w:themeColor="accent5"/>
          <w:sz w:val="24"/>
          <w:szCs w:val="24"/>
        </w:rPr>
        <w:t>,</w:t>
      </w:r>
      <w:r w:rsidR="006A4610" w:rsidRPr="00D7336A">
        <w:rPr>
          <w:rFonts w:ascii="Arial" w:hAnsi="Arial" w:cs="Arial"/>
          <w:color w:val="4BACC6" w:themeColor="accent5"/>
          <w:sz w:val="24"/>
          <w:szCs w:val="24"/>
        </w:rPr>
        <w:t xml:space="preserve"> con </w:t>
      </w:r>
      <w:r w:rsidR="006F222A">
        <w:rPr>
          <w:rFonts w:ascii="Arial" w:hAnsi="Arial" w:cs="Arial"/>
          <w:color w:val="4BACC6" w:themeColor="accent5"/>
          <w:sz w:val="24"/>
          <w:szCs w:val="24"/>
        </w:rPr>
        <w:t>11</w:t>
      </w:r>
      <w:r w:rsidR="00943FA9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6A4610" w:rsidRPr="00D7336A">
        <w:rPr>
          <w:rFonts w:ascii="Arial" w:hAnsi="Arial" w:cs="Arial"/>
          <w:color w:val="4BACC6" w:themeColor="accent5"/>
          <w:sz w:val="24"/>
          <w:szCs w:val="24"/>
        </w:rPr>
        <w:t>anexo</w:t>
      </w:r>
      <w:r w:rsidR="00943FA9">
        <w:rPr>
          <w:rFonts w:ascii="Arial" w:hAnsi="Arial" w:cs="Arial"/>
          <w:color w:val="4BACC6" w:themeColor="accent5"/>
          <w:sz w:val="24"/>
          <w:szCs w:val="24"/>
        </w:rPr>
        <w:t>s</w:t>
      </w:r>
      <w:r w:rsidR="00BE6AF8">
        <w:rPr>
          <w:rFonts w:ascii="Arial" w:hAnsi="Arial" w:cs="Arial"/>
          <w:color w:val="4BACC6" w:themeColor="accent5"/>
          <w:sz w:val="24"/>
          <w:szCs w:val="24"/>
        </w:rPr>
        <w:t xml:space="preserve">, </w:t>
      </w:r>
      <w:r w:rsidR="001C77AA">
        <w:rPr>
          <w:rFonts w:ascii="Arial" w:hAnsi="Arial" w:cs="Arial"/>
          <w:color w:val="4BACC6" w:themeColor="accent5"/>
          <w:sz w:val="24"/>
          <w:szCs w:val="24"/>
        </w:rPr>
        <w:t xml:space="preserve">donde </w:t>
      </w:r>
      <w:r w:rsidR="00E94C22" w:rsidRPr="00D7336A">
        <w:rPr>
          <w:rFonts w:ascii="Arial" w:hAnsi="Arial" w:cs="Arial"/>
          <w:color w:val="4BACC6" w:themeColor="accent5"/>
          <w:sz w:val="24"/>
          <w:szCs w:val="24"/>
        </w:rPr>
        <w:t>informa sobre el cumplimiento al resolutivo en anális</w:t>
      </w:r>
      <w:r w:rsidR="00D21862" w:rsidRPr="00D7336A">
        <w:rPr>
          <w:rFonts w:ascii="Arial" w:hAnsi="Arial" w:cs="Arial"/>
          <w:color w:val="4BACC6" w:themeColor="accent5"/>
          <w:sz w:val="24"/>
          <w:szCs w:val="24"/>
        </w:rPr>
        <w:t>is</w:t>
      </w:r>
      <w:r w:rsidR="00352A7B" w:rsidRPr="00D7336A">
        <w:rPr>
          <w:rFonts w:ascii="Arial" w:hAnsi="Arial" w:cs="Arial"/>
          <w:color w:val="4BACC6" w:themeColor="accent5"/>
          <w:sz w:val="24"/>
          <w:szCs w:val="24"/>
        </w:rPr>
        <w:t xml:space="preserve"> y señala medularmente lo siguiente:</w:t>
      </w:r>
    </w:p>
    <w:p w:rsidR="005A774A" w:rsidRDefault="005A774A" w:rsidP="001C3373">
      <w:pPr>
        <w:spacing w:line="24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D11CA5" w:rsidRPr="00791265" w:rsidRDefault="00E12808" w:rsidP="00D11CA5">
      <w:pPr>
        <w:spacing w:after="0" w:line="240" w:lineRule="auto"/>
        <w:jc w:val="both"/>
        <w:rPr>
          <w:rFonts w:ascii="Arial" w:hAnsi="Arial" w:cs="Arial"/>
          <w:i/>
          <w:color w:val="4BACC6" w:themeColor="accent5"/>
          <w:sz w:val="20"/>
          <w:szCs w:val="20"/>
        </w:rPr>
      </w:pPr>
      <w:r w:rsidRPr="00791265">
        <w:rPr>
          <w:rFonts w:ascii="Arial" w:hAnsi="Arial" w:cs="Arial"/>
          <w:i/>
          <w:color w:val="4BACC6" w:themeColor="accent5"/>
          <w:sz w:val="20"/>
          <w:szCs w:val="20"/>
        </w:rPr>
        <w:t xml:space="preserve"> </w:t>
      </w:r>
      <w:r w:rsidR="00D11CA5" w:rsidRPr="00791265">
        <w:rPr>
          <w:rFonts w:ascii="Arial" w:hAnsi="Arial" w:cs="Arial"/>
          <w:i/>
          <w:color w:val="4BACC6" w:themeColor="accent5"/>
          <w:sz w:val="20"/>
          <w:szCs w:val="20"/>
        </w:rPr>
        <w:t>[…]</w:t>
      </w:r>
      <w:r w:rsidR="00810456" w:rsidRPr="00791265">
        <w:rPr>
          <w:rFonts w:ascii="Arial" w:hAnsi="Arial" w:cs="Arial"/>
          <w:i/>
          <w:color w:val="4BACC6" w:themeColor="accent5"/>
          <w:sz w:val="20"/>
          <w:szCs w:val="20"/>
        </w:rPr>
        <w:t xml:space="preserve"> </w:t>
      </w:r>
      <w:r w:rsidR="006F222A">
        <w:rPr>
          <w:rFonts w:ascii="Arial" w:hAnsi="Arial" w:cs="Arial"/>
          <w:i/>
          <w:color w:val="4BACC6" w:themeColor="accent5"/>
          <w:sz w:val="20"/>
          <w:szCs w:val="20"/>
        </w:rPr>
        <w:t xml:space="preserve">Me permito solicitar a Usted se notifique al particular el cumplimiento, haciéndosele </w:t>
      </w:r>
      <w:r w:rsidR="00A03CE0">
        <w:rPr>
          <w:rFonts w:ascii="Arial" w:hAnsi="Arial" w:cs="Arial"/>
          <w:i/>
          <w:color w:val="4BACC6" w:themeColor="accent5"/>
          <w:sz w:val="20"/>
          <w:szCs w:val="20"/>
        </w:rPr>
        <w:t xml:space="preserve">entrega de la información en los términos especificados por el órgano garante en la resolución en comento </w:t>
      </w:r>
      <w:r w:rsidR="00B941DB" w:rsidRPr="00791265">
        <w:rPr>
          <w:rFonts w:ascii="Arial" w:hAnsi="Arial" w:cs="Arial"/>
          <w:i/>
          <w:color w:val="4BACC6" w:themeColor="accent5"/>
          <w:sz w:val="20"/>
          <w:szCs w:val="20"/>
        </w:rPr>
        <w:t xml:space="preserve">[…]. </w:t>
      </w:r>
      <w:r w:rsidR="001C77AA" w:rsidRPr="00791265">
        <w:rPr>
          <w:rFonts w:ascii="Arial" w:hAnsi="Arial" w:cs="Arial"/>
          <w:i/>
          <w:color w:val="4BACC6" w:themeColor="accent5"/>
          <w:sz w:val="20"/>
          <w:szCs w:val="20"/>
        </w:rPr>
        <w:t xml:space="preserve"> </w:t>
      </w:r>
    </w:p>
    <w:p w:rsidR="00D21862" w:rsidRPr="00D7336A" w:rsidRDefault="00D21862" w:rsidP="00A45785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616C0D" w:rsidRPr="00467AA8" w:rsidRDefault="00352A7B" w:rsidP="00616C0D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 w:rsidRPr="00616C0D">
        <w:rPr>
          <w:rFonts w:cs="Arial"/>
          <w:color w:val="4BACC6" w:themeColor="accent5"/>
          <w:sz w:val="24"/>
          <w:szCs w:val="24"/>
        </w:rPr>
        <w:t>En ese sentido,</w:t>
      </w:r>
      <w:r w:rsidR="006A4610" w:rsidRPr="00616C0D">
        <w:rPr>
          <w:rFonts w:cs="Arial"/>
          <w:color w:val="4BACC6" w:themeColor="accent5"/>
          <w:sz w:val="24"/>
          <w:szCs w:val="24"/>
        </w:rPr>
        <w:t xml:space="preserve"> </w:t>
      </w:r>
      <w:r w:rsidR="00D11CA5" w:rsidRPr="00616C0D">
        <w:rPr>
          <w:rFonts w:cs="Arial"/>
          <w:color w:val="4BACC6" w:themeColor="accent5"/>
          <w:sz w:val="24"/>
          <w:szCs w:val="24"/>
        </w:rPr>
        <w:t xml:space="preserve">visibles a fojas </w:t>
      </w:r>
      <w:r w:rsidR="00A03CE0">
        <w:rPr>
          <w:rFonts w:cs="Arial"/>
          <w:color w:val="4BACC6" w:themeColor="accent5"/>
          <w:sz w:val="24"/>
          <w:szCs w:val="24"/>
        </w:rPr>
        <w:t>74</w:t>
      </w:r>
      <w:r w:rsidR="00810456" w:rsidRPr="00616C0D">
        <w:rPr>
          <w:rFonts w:cs="Arial"/>
          <w:color w:val="4BACC6" w:themeColor="accent5"/>
          <w:sz w:val="24"/>
          <w:szCs w:val="24"/>
        </w:rPr>
        <w:t xml:space="preserve"> </w:t>
      </w:r>
      <w:r w:rsidR="00467AA8">
        <w:rPr>
          <w:rFonts w:cs="Arial"/>
          <w:color w:val="4BACC6" w:themeColor="accent5"/>
          <w:sz w:val="24"/>
          <w:szCs w:val="24"/>
        </w:rPr>
        <w:t>a</w:t>
      </w:r>
      <w:r w:rsidR="00810456" w:rsidRPr="00616C0D">
        <w:rPr>
          <w:rFonts w:cs="Arial"/>
          <w:color w:val="4BACC6" w:themeColor="accent5"/>
          <w:sz w:val="24"/>
          <w:szCs w:val="24"/>
        </w:rPr>
        <w:t xml:space="preserve"> </w:t>
      </w:r>
      <w:r w:rsidR="00A03CE0">
        <w:rPr>
          <w:rFonts w:cs="Arial"/>
          <w:color w:val="4BACC6" w:themeColor="accent5"/>
          <w:sz w:val="24"/>
          <w:szCs w:val="24"/>
        </w:rPr>
        <w:t>91</w:t>
      </w:r>
      <w:r w:rsidR="00D11CA5" w:rsidRPr="00616C0D">
        <w:rPr>
          <w:rFonts w:cs="Arial"/>
          <w:color w:val="4BACC6" w:themeColor="accent5"/>
          <w:sz w:val="24"/>
          <w:szCs w:val="24"/>
        </w:rPr>
        <w:t xml:space="preserve"> de autos, se encuentra la información que fuera enviada al recurrente, mismos que por economía procesal, se tienen por reproducidos como si a la letra se insertasen, y </w:t>
      </w:r>
      <w:r w:rsidR="00467AA8">
        <w:rPr>
          <w:rFonts w:cs="Arial"/>
          <w:color w:val="4BACC6" w:themeColor="accent5"/>
          <w:sz w:val="24"/>
          <w:szCs w:val="24"/>
        </w:rPr>
        <w:t>en el</w:t>
      </w:r>
      <w:r w:rsidR="00D11CA5" w:rsidRPr="00616C0D">
        <w:rPr>
          <w:rFonts w:cs="Arial"/>
          <w:color w:val="4BACC6" w:themeColor="accent5"/>
          <w:sz w:val="24"/>
          <w:szCs w:val="24"/>
        </w:rPr>
        <w:t xml:space="preserve"> que consta</w:t>
      </w:r>
      <w:r w:rsidR="00977800">
        <w:rPr>
          <w:rFonts w:cs="Arial"/>
          <w:color w:val="4BACC6" w:themeColor="accent5"/>
          <w:sz w:val="24"/>
          <w:szCs w:val="24"/>
        </w:rPr>
        <w:t xml:space="preserve"> </w:t>
      </w:r>
      <w:r w:rsidR="001C3373">
        <w:rPr>
          <w:rFonts w:cs="Arial"/>
          <w:color w:val="4BACC6" w:themeColor="accent5"/>
          <w:sz w:val="24"/>
          <w:szCs w:val="24"/>
        </w:rPr>
        <w:t>de</w:t>
      </w:r>
      <w:r w:rsidR="00A03CE0">
        <w:rPr>
          <w:rFonts w:cs="Arial"/>
          <w:color w:val="4BACC6" w:themeColor="accent5"/>
          <w:sz w:val="24"/>
          <w:szCs w:val="24"/>
        </w:rPr>
        <w:t xml:space="preserve"> </w:t>
      </w:r>
      <w:r w:rsidR="001C3373">
        <w:rPr>
          <w:rFonts w:cs="Arial"/>
          <w:color w:val="4BACC6" w:themeColor="accent5"/>
          <w:sz w:val="24"/>
          <w:szCs w:val="24"/>
        </w:rPr>
        <w:t>l</w:t>
      </w:r>
      <w:r w:rsidR="00A03CE0">
        <w:rPr>
          <w:rFonts w:cs="Arial"/>
          <w:color w:val="4BACC6" w:themeColor="accent5"/>
          <w:sz w:val="24"/>
          <w:szCs w:val="24"/>
        </w:rPr>
        <w:t xml:space="preserve">a remisión </w:t>
      </w:r>
      <w:r w:rsidR="00A03CE0" w:rsidRPr="00A03CE0">
        <w:rPr>
          <w:rFonts w:cs="Arial"/>
          <w:color w:val="4BACC6" w:themeColor="accent5"/>
          <w:sz w:val="24"/>
          <w:szCs w:val="24"/>
        </w:rPr>
        <w:t>el acta de la sesión de Cabildo</w:t>
      </w:r>
      <w:r w:rsidR="00A03CE0">
        <w:rPr>
          <w:rFonts w:cs="Arial"/>
          <w:color w:val="4BACC6" w:themeColor="accent5"/>
          <w:sz w:val="24"/>
          <w:szCs w:val="24"/>
        </w:rPr>
        <w:t xml:space="preserve"> en su versión pública</w:t>
      </w:r>
      <w:r w:rsidR="00977800">
        <w:rPr>
          <w:rFonts w:cs="Arial"/>
          <w:color w:val="4BACC6" w:themeColor="accent5"/>
          <w:sz w:val="24"/>
          <w:szCs w:val="24"/>
        </w:rPr>
        <w:t>.</w:t>
      </w:r>
    </w:p>
    <w:p w:rsidR="006A4610" w:rsidRPr="00467AA8" w:rsidRDefault="00467AA8" w:rsidP="00352A7B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467AA8">
        <w:rPr>
          <w:rFonts w:ascii="Arial" w:hAnsi="Arial" w:cs="Arial"/>
          <w:color w:val="4BACC6" w:themeColor="accent5"/>
          <w:sz w:val="24"/>
          <w:szCs w:val="24"/>
        </w:rPr>
        <w:t>.</w:t>
      </w:r>
    </w:p>
    <w:p w:rsidR="00FE5A4C" w:rsidRPr="00D7336A" w:rsidRDefault="00D21862" w:rsidP="0097780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Así las cosas,</w:t>
      </w:r>
      <w:r w:rsidR="00D11CA5">
        <w:rPr>
          <w:rFonts w:ascii="Arial" w:hAnsi="Arial" w:cs="Arial"/>
          <w:color w:val="4BACC6" w:themeColor="accent5"/>
          <w:sz w:val="24"/>
          <w:szCs w:val="24"/>
        </w:rPr>
        <w:t xml:space="preserve"> el sujeto obligado también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bra la constancia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que acredita que el sujeto obligado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 envió al recurrente por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correo electrónico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 en formato electrónico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la información que aquí se ha estudiado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>, toda vez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 xml:space="preserve"> que del contenido de la referida constancia se advierte que la dirección electrónica corresponde con la que señalo el recurrente par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a oír y recibir notificaciones. </w:t>
      </w:r>
    </w:p>
    <w:p w:rsidR="001E317B" w:rsidRPr="00D7336A" w:rsidRDefault="001E317B" w:rsidP="000B7F7D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6569DD" w:rsidRPr="00467AA8" w:rsidRDefault="000B7F7D" w:rsidP="006569DD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 w:rsidRPr="00D7336A">
        <w:rPr>
          <w:rFonts w:cs="Arial"/>
          <w:color w:val="4BACC6" w:themeColor="accent5"/>
          <w:sz w:val="24"/>
          <w:szCs w:val="24"/>
        </w:rPr>
        <w:lastRenderedPageBreak/>
        <w:t>D</w:t>
      </w:r>
      <w:r w:rsidR="00184E79" w:rsidRPr="00D7336A">
        <w:rPr>
          <w:rFonts w:cs="Arial"/>
          <w:color w:val="4BACC6" w:themeColor="accent5"/>
          <w:sz w:val="24"/>
          <w:szCs w:val="24"/>
        </w:rPr>
        <w:t xml:space="preserve">e tal suerte, </w:t>
      </w:r>
      <w:r w:rsidR="00D21862" w:rsidRPr="00D7336A">
        <w:rPr>
          <w:rFonts w:cs="Arial"/>
          <w:color w:val="4BACC6" w:themeColor="accent5"/>
          <w:sz w:val="24"/>
          <w:szCs w:val="24"/>
        </w:rPr>
        <w:t>se</w:t>
      </w:r>
      <w:r w:rsidR="001E317B" w:rsidRPr="00D7336A">
        <w:rPr>
          <w:rFonts w:cs="Arial"/>
          <w:color w:val="4BACC6" w:themeColor="accent5"/>
          <w:sz w:val="24"/>
          <w:szCs w:val="24"/>
        </w:rPr>
        <w:t xml:space="preserve"> tiene que las documentales remitidas por el sujeto obligado, son suficientes para colmar los extremos fijados en la resolución de mérito</w:t>
      </w:r>
      <w:r w:rsidR="00D21862" w:rsidRPr="00D7336A">
        <w:rPr>
          <w:rFonts w:cs="Arial"/>
          <w:color w:val="4BACC6" w:themeColor="accent5"/>
          <w:sz w:val="24"/>
          <w:szCs w:val="24"/>
        </w:rPr>
        <w:t xml:space="preserve"> </w:t>
      </w:r>
      <w:r w:rsidR="001E317B" w:rsidRPr="00D7336A">
        <w:rPr>
          <w:rFonts w:cs="Arial"/>
          <w:color w:val="4BACC6" w:themeColor="accent5"/>
          <w:sz w:val="24"/>
          <w:szCs w:val="24"/>
        </w:rPr>
        <w:t xml:space="preserve">y </w:t>
      </w:r>
      <w:r w:rsidR="00695310" w:rsidRPr="00D7336A">
        <w:rPr>
          <w:rFonts w:cs="Arial"/>
          <w:color w:val="4BACC6" w:themeColor="accent5"/>
          <w:sz w:val="24"/>
          <w:szCs w:val="24"/>
        </w:rPr>
        <w:t>p</w:t>
      </w:r>
      <w:r w:rsidR="00426890">
        <w:rPr>
          <w:rFonts w:cs="Arial"/>
          <w:color w:val="4BACC6" w:themeColor="accent5"/>
          <w:sz w:val="24"/>
          <w:szCs w:val="24"/>
        </w:rPr>
        <w:t xml:space="preserve">or tanto se encuentra cumplida, toda vez que la información proporcionada por el sujeto obligado da cuenta </w:t>
      </w:r>
      <w:r w:rsidR="001C3373">
        <w:rPr>
          <w:rFonts w:cs="Arial"/>
          <w:color w:val="4BACC6" w:themeColor="accent5"/>
          <w:sz w:val="24"/>
          <w:szCs w:val="24"/>
        </w:rPr>
        <w:t xml:space="preserve">de </w:t>
      </w:r>
      <w:r w:rsidR="00A03CE0">
        <w:rPr>
          <w:rFonts w:cs="Arial"/>
          <w:color w:val="4BACC6" w:themeColor="accent5"/>
          <w:sz w:val="24"/>
          <w:szCs w:val="24"/>
        </w:rPr>
        <w:t xml:space="preserve">la </w:t>
      </w:r>
      <w:r w:rsidR="00A45785">
        <w:rPr>
          <w:rFonts w:cs="Arial"/>
          <w:color w:val="4BACC6" w:themeColor="accent5"/>
          <w:sz w:val="24"/>
          <w:szCs w:val="24"/>
        </w:rPr>
        <w:t>d</w:t>
      </w:r>
      <w:r w:rsidR="00A03CE0" w:rsidRPr="00A45785">
        <w:rPr>
          <w:rFonts w:cs="Arial"/>
          <w:color w:val="4BACC6" w:themeColor="accent5"/>
          <w:sz w:val="24"/>
          <w:szCs w:val="24"/>
        </w:rPr>
        <w:t>esclasificaci</w:t>
      </w:r>
      <w:r w:rsidR="00A45785">
        <w:rPr>
          <w:rFonts w:cs="Arial"/>
          <w:color w:val="4BACC6" w:themeColor="accent5"/>
          <w:sz w:val="24"/>
          <w:szCs w:val="24"/>
        </w:rPr>
        <w:t>ó</w:t>
      </w:r>
      <w:r w:rsidR="00A03CE0" w:rsidRPr="00A45785">
        <w:rPr>
          <w:rFonts w:cs="Arial"/>
          <w:color w:val="4BACC6" w:themeColor="accent5"/>
          <w:sz w:val="24"/>
          <w:szCs w:val="24"/>
        </w:rPr>
        <w:t>n del acta de sesión de Cabildo en el que se declaró la invalidez y nulidad de las determinaciones para el cambio de uso de suelo y modificación del Plan de Centro de Población Estratégico de las Ciudades de San Luis Potosí</w:t>
      </w:r>
      <w:r w:rsidR="00977800" w:rsidRPr="00A45785">
        <w:rPr>
          <w:rFonts w:cs="Arial"/>
          <w:color w:val="4BACC6" w:themeColor="accent5"/>
          <w:sz w:val="24"/>
          <w:szCs w:val="24"/>
        </w:rPr>
        <w:t>.</w:t>
      </w:r>
      <w:r w:rsidR="006569DD" w:rsidRPr="00A45785">
        <w:rPr>
          <w:rFonts w:cs="Arial"/>
          <w:color w:val="4BACC6" w:themeColor="accent5"/>
          <w:sz w:val="24"/>
          <w:szCs w:val="24"/>
        </w:rPr>
        <w:t xml:space="preserve"> </w:t>
      </w:r>
    </w:p>
    <w:p w:rsidR="001E317B" w:rsidRPr="00D7336A" w:rsidRDefault="001E317B" w:rsidP="006569DD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</w:p>
    <w:p w:rsidR="008024C9" w:rsidRPr="00D7336A" w:rsidRDefault="008024C9" w:rsidP="001C3373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Por otro lado, esta Comisión por </w:t>
      </w:r>
      <w:r w:rsidR="004C415C" w:rsidRPr="00D7336A">
        <w:rPr>
          <w:rFonts w:ascii="Arial" w:hAnsi="Arial" w:cs="Arial"/>
          <w:color w:val="4BACC6" w:themeColor="accent5"/>
          <w:sz w:val="24"/>
          <w:szCs w:val="24"/>
        </w:rPr>
        <w:t>medio de prov</w:t>
      </w:r>
      <w:r w:rsidR="00184E79" w:rsidRPr="00D7336A">
        <w:rPr>
          <w:rFonts w:ascii="Arial" w:hAnsi="Arial" w:cs="Arial"/>
          <w:color w:val="4BACC6" w:themeColor="accent5"/>
          <w:sz w:val="24"/>
          <w:szCs w:val="24"/>
        </w:rPr>
        <w:t xml:space="preserve">eído de fecha </w:t>
      </w:r>
      <w:r w:rsidR="001C3373">
        <w:rPr>
          <w:rFonts w:ascii="Arial" w:hAnsi="Arial" w:cs="Arial"/>
          <w:color w:val="4BACC6" w:themeColor="accent5"/>
          <w:sz w:val="24"/>
          <w:szCs w:val="24"/>
        </w:rPr>
        <w:t xml:space="preserve">cuatro de </w:t>
      </w:r>
      <w:r w:rsidR="00A45785">
        <w:rPr>
          <w:rFonts w:ascii="Arial" w:hAnsi="Arial" w:cs="Arial"/>
          <w:color w:val="4BACC6" w:themeColor="accent5"/>
          <w:sz w:val="24"/>
          <w:szCs w:val="24"/>
        </w:rPr>
        <w:t>julio</w:t>
      </w:r>
      <w:r w:rsidR="001C3373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9C034C">
        <w:rPr>
          <w:rFonts w:ascii="Arial" w:hAnsi="Arial" w:cs="Arial"/>
          <w:color w:val="4BACC6" w:themeColor="accent5"/>
          <w:sz w:val="24"/>
          <w:szCs w:val="24"/>
        </w:rPr>
        <w:t>de dos mil diecisiete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>, dio vista a la parte recurrente con las constancias remitidas por el sujeto obligado, para el efecto de que realizara las manifestaciones que a sus intereses conviniera, sin que hubiera realizado manifestación alguna al respecto, aun cuando fue notificado por el medio que designó</w:t>
      </w:r>
      <w:r w:rsidR="00B0797C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>tal como se desprende de las constancias de notificación que obran</w:t>
      </w:r>
      <w:r w:rsidR="00426890">
        <w:rPr>
          <w:rFonts w:ascii="Arial" w:hAnsi="Arial" w:cs="Arial"/>
          <w:color w:val="4BACC6" w:themeColor="accent5"/>
          <w:sz w:val="24"/>
          <w:szCs w:val="24"/>
        </w:rPr>
        <w:t xml:space="preserve"> visibles a fojas </w:t>
      </w:r>
      <w:r w:rsidR="00A45785">
        <w:rPr>
          <w:rFonts w:ascii="Arial" w:hAnsi="Arial" w:cs="Arial"/>
          <w:color w:val="4BACC6" w:themeColor="accent5"/>
          <w:sz w:val="24"/>
          <w:szCs w:val="24"/>
        </w:rPr>
        <w:t>93</w:t>
      </w:r>
      <w:r w:rsidR="00AB0C8A">
        <w:rPr>
          <w:rFonts w:ascii="Arial" w:hAnsi="Arial" w:cs="Arial"/>
          <w:color w:val="4BACC6" w:themeColor="accent5"/>
          <w:sz w:val="24"/>
          <w:szCs w:val="24"/>
        </w:rPr>
        <w:t xml:space="preserve"> a </w:t>
      </w:r>
      <w:r w:rsidR="00A45785">
        <w:rPr>
          <w:rFonts w:ascii="Arial" w:hAnsi="Arial" w:cs="Arial"/>
          <w:color w:val="4BACC6" w:themeColor="accent5"/>
          <w:sz w:val="24"/>
          <w:szCs w:val="24"/>
        </w:rPr>
        <w:t>95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de autos.</w:t>
      </w:r>
    </w:p>
    <w:p w:rsidR="008024C9" w:rsidRPr="00D7336A" w:rsidRDefault="008024C9" w:rsidP="008024C9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8024C9" w:rsidRPr="00D7336A" w:rsidRDefault="008024C9" w:rsidP="0097780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En ese sentido, es dable asentar que no existe constancia alguna agregada a los autos que contravenga las documentales remitidas por el sujeto obligado para acreditar el cumplimiento de la resolución. </w:t>
      </w:r>
    </w:p>
    <w:p w:rsidR="00184E79" w:rsidRPr="00D7336A" w:rsidRDefault="00184E79" w:rsidP="00184E79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8024C9" w:rsidRPr="00D7336A" w:rsidRDefault="005A2395" w:rsidP="00977800">
      <w:pPr>
        <w:spacing w:after="0" w:line="360" w:lineRule="auto"/>
        <w:ind w:firstLine="708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En consecuencia, p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or lo </w:t>
      </w:r>
      <w:r w:rsidR="00ED7190" w:rsidRPr="00D7336A">
        <w:rPr>
          <w:rFonts w:ascii="Arial" w:hAnsi="Arial" w:cs="Arial"/>
          <w:color w:val="4BACC6" w:themeColor="accent5"/>
          <w:sz w:val="24"/>
          <w:szCs w:val="24"/>
        </w:rPr>
        <w:t xml:space="preserve">anteriormente </w:t>
      </w:r>
      <w:r w:rsidR="000A4472" w:rsidRPr="00D7336A">
        <w:rPr>
          <w:rFonts w:ascii="Arial" w:hAnsi="Arial" w:cs="Arial"/>
          <w:color w:val="4BACC6" w:themeColor="accent5"/>
          <w:sz w:val="24"/>
          <w:szCs w:val="24"/>
        </w:rPr>
        <w:t xml:space="preserve">expuesto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>y c</w:t>
      </w:r>
      <w:r w:rsidR="003E3238" w:rsidRPr="00D7336A">
        <w:rPr>
          <w:rFonts w:ascii="Arial" w:hAnsi="Arial" w:cs="Arial"/>
          <w:color w:val="4BACC6" w:themeColor="accent5"/>
          <w:sz w:val="24"/>
          <w:szCs w:val="24"/>
        </w:rPr>
        <w:t xml:space="preserve">on fundamento en los artículos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27° primer párrafo y 185 de la Ley de Transparencia y Acceso a la Información Pública del Estado, </w:t>
      </w:r>
      <w:r w:rsidR="004F5CDC" w:rsidRPr="00D7336A">
        <w:rPr>
          <w:rFonts w:ascii="Arial" w:hAnsi="Arial" w:cs="Arial"/>
          <w:b/>
          <w:color w:val="4BACC6" w:themeColor="accent5"/>
          <w:sz w:val="24"/>
          <w:szCs w:val="24"/>
        </w:rPr>
        <w:t>se tiene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por cumplida </w:t>
      </w:r>
      <w:r w:rsidR="004C415C" w:rsidRPr="00D7336A">
        <w:rPr>
          <w:rFonts w:ascii="Arial" w:hAnsi="Arial" w:cs="Arial"/>
          <w:b/>
          <w:color w:val="4BACC6" w:themeColor="accent5"/>
          <w:sz w:val="24"/>
          <w:szCs w:val="24"/>
        </w:rPr>
        <w:t>l</w:t>
      </w:r>
      <w:r w:rsidR="00184E79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a </w:t>
      </w:r>
      <w:r w:rsidR="00453A8D" w:rsidRPr="00D7336A">
        <w:rPr>
          <w:rFonts w:ascii="Arial" w:hAnsi="Arial" w:cs="Arial"/>
          <w:b/>
          <w:color w:val="4BACC6" w:themeColor="accent5"/>
          <w:sz w:val="24"/>
          <w:szCs w:val="24"/>
        </w:rPr>
        <w:t>resolución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, dictada</w:t>
      </w:r>
      <w:r w:rsidR="004C415C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</w:t>
      </w:r>
      <w:r w:rsidR="00426890">
        <w:rPr>
          <w:rFonts w:ascii="Arial" w:hAnsi="Arial" w:cs="Arial"/>
          <w:b/>
          <w:color w:val="4BACC6" w:themeColor="accent5"/>
          <w:sz w:val="24"/>
          <w:szCs w:val="24"/>
        </w:rPr>
        <w:t>en el recurso de revisión RR-</w:t>
      </w:r>
      <w:r w:rsidR="00A45785">
        <w:rPr>
          <w:rFonts w:ascii="Arial" w:hAnsi="Arial" w:cs="Arial"/>
          <w:b/>
          <w:color w:val="4BACC6" w:themeColor="accent5"/>
          <w:sz w:val="24"/>
          <w:szCs w:val="24"/>
        </w:rPr>
        <w:t>130</w:t>
      </w:r>
      <w:r w:rsidR="001E317B" w:rsidRPr="00D7336A">
        <w:rPr>
          <w:rFonts w:ascii="Arial" w:hAnsi="Arial" w:cs="Arial"/>
          <w:b/>
          <w:color w:val="4BACC6" w:themeColor="accent5"/>
          <w:sz w:val="24"/>
          <w:szCs w:val="24"/>
        </w:rPr>
        <w:t>/2017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-1</w:t>
      </w:r>
      <w:r w:rsidR="005A774A">
        <w:rPr>
          <w:rFonts w:ascii="Arial" w:hAnsi="Arial" w:cs="Arial"/>
          <w:b/>
          <w:color w:val="4BACC6" w:themeColor="accent5"/>
          <w:sz w:val="24"/>
          <w:szCs w:val="24"/>
        </w:rPr>
        <w:t xml:space="preserve"> PLATAFORMA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.</w:t>
      </w:r>
    </w:p>
    <w:p w:rsidR="008024C9" w:rsidRPr="00D7336A" w:rsidRDefault="008024C9" w:rsidP="004F5CDC">
      <w:pPr>
        <w:spacing w:after="0" w:line="36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4F5CDC" w:rsidRPr="00D7336A" w:rsidRDefault="008024C9" w:rsidP="004F5CDC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Por último, archívese en su oportunidad este expediente como asunto totalmente concluido. </w:t>
      </w:r>
      <w:r w:rsidR="004F5CDC" w:rsidRPr="00D7336A">
        <w:rPr>
          <w:rFonts w:ascii="Arial" w:hAnsi="Arial" w:cs="Arial"/>
          <w:b/>
          <w:color w:val="4BACC6" w:themeColor="accent5"/>
          <w:sz w:val="24"/>
          <w:szCs w:val="24"/>
        </w:rPr>
        <w:t>Notifíquese por lista y personalmente a las partes.</w:t>
      </w:r>
    </w:p>
    <w:p w:rsidR="004F5CDC" w:rsidRPr="00D7336A" w:rsidRDefault="004C415C" w:rsidP="004C415C">
      <w:pPr>
        <w:tabs>
          <w:tab w:val="left" w:pos="3795"/>
        </w:tabs>
        <w:spacing w:after="0" w:line="360" w:lineRule="auto"/>
        <w:jc w:val="both"/>
        <w:rPr>
          <w:rFonts w:ascii="Arial" w:eastAsia="Batang" w:hAnsi="Arial" w:cs="Arial"/>
          <w:color w:val="4BACC6" w:themeColor="accent5"/>
          <w:sz w:val="24"/>
          <w:szCs w:val="24"/>
        </w:rPr>
      </w:pPr>
      <w:r w:rsidRPr="00D7336A">
        <w:rPr>
          <w:rFonts w:ascii="Arial" w:eastAsia="Batang" w:hAnsi="Arial" w:cs="Arial"/>
          <w:color w:val="4BACC6" w:themeColor="accent5"/>
          <w:sz w:val="24"/>
          <w:szCs w:val="24"/>
        </w:rPr>
        <w:tab/>
      </w:r>
    </w:p>
    <w:p w:rsidR="004F5CDC" w:rsidRDefault="004F5CDC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Así lo proveyó y firma el Comisionado Presidente de la Comisión Estatal de Garantía de Acceso a la Información Pública Alejandro Lafuente Torres, que actúa con Rosa María Motilla García, Secretaria de Pleno que da fe.</w:t>
      </w:r>
    </w:p>
    <w:p w:rsidR="005A774A" w:rsidRDefault="005A774A" w:rsidP="00791265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A45785" w:rsidRPr="005A774A" w:rsidRDefault="00A45785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F5CDC" w:rsidRPr="00D7336A" w:rsidRDefault="004F5CDC" w:rsidP="004F5CDC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   Alejandro Lafuente Torres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  <w:lang w:val="es-ES"/>
        </w:rPr>
        <w:t xml:space="preserve">          Rosa María Motilla García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</w:t>
      </w:r>
    </w:p>
    <w:p w:rsidR="00A45785" w:rsidRDefault="004F5CDC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   Comisionado Presidente                      </w:t>
      </w:r>
      <w:r w:rsidR="00845E58">
        <w:rPr>
          <w:rFonts w:ascii="Arial" w:hAnsi="Arial" w:cs="Arial"/>
          <w:b/>
          <w:color w:val="4BACC6" w:themeColor="accent5"/>
          <w:sz w:val="24"/>
          <w:szCs w:val="24"/>
        </w:rPr>
        <w:t>Secretaria de Plen</w:t>
      </w:r>
      <w:r w:rsidR="005A774A">
        <w:rPr>
          <w:rFonts w:ascii="Arial" w:hAnsi="Arial" w:cs="Arial"/>
          <w:b/>
          <w:color w:val="4BACC6" w:themeColor="accent5"/>
          <w:sz w:val="24"/>
          <w:szCs w:val="24"/>
        </w:rPr>
        <w:t>o</w:t>
      </w:r>
    </w:p>
    <w:bookmarkEnd w:id="0"/>
    <w:p w:rsidR="00CD2AF9" w:rsidRPr="00A45785" w:rsidRDefault="00CD2AF9" w:rsidP="00A45785">
      <w:pPr>
        <w:ind w:firstLine="708"/>
        <w:rPr>
          <w:rFonts w:ascii="Arial" w:hAnsi="Arial" w:cs="Arial"/>
          <w:sz w:val="24"/>
          <w:szCs w:val="24"/>
        </w:rPr>
      </w:pPr>
    </w:p>
    <w:sectPr w:rsidR="00CD2AF9" w:rsidRPr="00A45785" w:rsidSect="00FF56CF">
      <w:headerReference w:type="default" r:id="rId8"/>
      <w:footerReference w:type="default" r:id="rId9"/>
      <w:pgSz w:w="12240" w:h="20160" w:code="5"/>
      <w:pgMar w:top="2694" w:right="851" w:bottom="2268" w:left="28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3720" w:rsidRDefault="00593720" w:rsidP="00A04BCB">
      <w:pPr>
        <w:spacing w:after="0" w:line="240" w:lineRule="auto"/>
      </w:pPr>
      <w:r>
        <w:separator/>
      </w:r>
    </w:p>
  </w:endnote>
  <w:endnote w:type="continuationSeparator" w:id="0">
    <w:p w:rsidR="00593720" w:rsidRDefault="00593720" w:rsidP="00A04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1265" w:rsidRDefault="00791265">
    <w:pPr>
      <w:pStyle w:val="Piedepgina"/>
    </w:pPr>
  </w:p>
  <w:p w:rsidR="00A45785" w:rsidRDefault="00A4578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3720" w:rsidRDefault="00593720" w:rsidP="00A04BCB">
      <w:pPr>
        <w:spacing w:after="0" w:line="240" w:lineRule="auto"/>
      </w:pPr>
      <w:r>
        <w:separator/>
      </w:r>
    </w:p>
  </w:footnote>
  <w:footnote w:type="continuationSeparator" w:id="0">
    <w:p w:rsidR="00593720" w:rsidRDefault="00593720" w:rsidP="00A04B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4BCB" w:rsidRDefault="00624ED9" w:rsidP="005D7E54">
    <w:pPr>
      <w:pStyle w:val="Encabezado"/>
      <w:jc w:val="right"/>
    </w:pPr>
    <w:r>
      <w:rPr>
        <w:rFonts w:ascii="Arial" w:hAnsi="Arial" w:cs="Arial"/>
        <w:b/>
      </w:rPr>
      <w:t>RR-</w:t>
    </w:r>
    <w:r w:rsidR="00A45785">
      <w:rPr>
        <w:rFonts w:ascii="Arial" w:hAnsi="Arial" w:cs="Arial"/>
        <w:b/>
      </w:rPr>
      <w:t>130</w:t>
    </w:r>
    <w:r w:rsidR="002414D8">
      <w:rPr>
        <w:rFonts w:ascii="Arial" w:hAnsi="Arial" w:cs="Arial"/>
        <w:b/>
      </w:rPr>
      <w:t>/2017</w:t>
    </w:r>
    <w:r w:rsidR="002526F3">
      <w:rPr>
        <w:rFonts w:ascii="Arial" w:hAnsi="Arial" w:cs="Arial"/>
        <w:b/>
      </w:rPr>
      <w:t>-</w:t>
    </w:r>
    <w:r w:rsidR="001F7935">
      <w:rPr>
        <w:rFonts w:ascii="Arial" w:hAnsi="Arial" w:cs="Arial"/>
        <w:b/>
      </w:rPr>
      <w:t>1</w:t>
    </w:r>
    <w:r w:rsidR="00FC2F02">
      <w:rPr>
        <w:rFonts w:ascii="Arial" w:hAnsi="Arial" w:cs="Arial"/>
        <w:b/>
      </w:rPr>
      <w:t xml:space="preserve"> PLATAFORMA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43D98"/>
    <w:multiLevelType w:val="hybridMultilevel"/>
    <w:tmpl w:val="87DEF50E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9FC422D"/>
    <w:multiLevelType w:val="hybridMultilevel"/>
    <w:tmpl w:val="CF301644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E1E3FA2"/>
    <w:multiLevelType w:val="hybridMultilevel"/>
    <w:tmpl w:val="DD0CBE1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EE51D7B"/>
    <w:multiLevelType w:val="hybridMultilevel"/>
    <w:tmpl w:val="B868181A"/>
    <w:lvl w:ilvl="0" w:tplc="080A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30C7D"/>
    <w:multiLevelType w:val="hybridMultilevel"/>
    <w:tmpl w:val="3F282C80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D55E2"/>
    <w:multiLevelType w:val="hybridMultilevel"/>
    <w:tmpl w:val="EC249EB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771664B"/>
    <w:multiLevelType w:val="hybridMultilevel"/>
    <w:tmpl w:val="5EA20BC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F122E6"/>
    <w:multiLevelType w:val="hybridMultilevel"/>
    <w:tmpl w:val="2B4C46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F977A7"/>
    <w:multiLevelType w:val="hybridMultilevel"/>
    <w:tmpl w:val="1DDA9D80"/>
    <w:lvl w:ilvl="0" w:tplc="080A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9" w15:restartNumberingAfterBreak="0">
    <w:nsid w:val="39E8385A"/>
    <w:multiLevelType w:val="hybridMultilevel"/>
    <w:tmpl w:val="038E9682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43BA6838"/>
    <w:multiLevelType w:val="hybridMultilevel"/>
    <w:tmpl w:val="F5D44BAC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D2123B5"/>
    <w:multiLevelType w:val="hybridMultilevel"/>
    <w:tmpl w:val="18A020AC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20E1821"/>
    <w:multiLevelType w:val="hybridMultilevel"/>
    <w:tmpl w:val="B28E9EEE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64A2D33"/>
    <w:multiLevelType w:val="hybridMultilevel"/>
    <w:tmpl w:val="8E747B3A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 w15:restartNumberingAfterBreak="0">
    <w:nsid w:val="75B6089B"/>
    <w:multiLevelType w:val="hybridMultilevel"/>
    <w:tmpl w:val="B83A06F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14"/>
  </w:num>
  <w:num w:numId="5">
    <w:abstractNumId w:val="11"/>
  </w:num>
  <w:num w:numId="6">
    <w:abstractNumId w:val="9"/>
  </w:num>
  <w:num w:numId="7">
    <w:abstractNumId w:val="2"/>
  </w:num>
  <w:num w:numId="8">
    <w:abstractNumId w:val="13"/>
  </w:num>
  <w:num w:numId="9">
    <w:abstractNumId w:val="5"/>
  </w:num>
  <w:num w:numId="10">
    <w:abstractNumId w:val="1"/>
  </w:num>
  <w:num w:numId="11">
    <w:abstractNumId w:val="8"/>
  </w:num>
  <w:num w:numId="12">
    <w:abstractNumId w:val="12"/>
  </w:num>
  <w:num w:numId="13">
    <w:abstractNumId w:val="10"/>
  </w:num>
  <w:num w:numId="14">
    <w:abstractNumId w:val="7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BCB"/>
    <w:rsid w:val="00001AD9"/>
    <w:rsid w:val="00011E94"/>
    <w:rsid w:val="00022AD6"/>
    <w:rsid w:val="0003028A"/>
    <w:rsid w:val="00054206"/>
    <w:rsid w:val="00080247"/>
    <w:rsid w:val="00090FF9"/>
    <w:rsid w:val="000A4472"/>
    <w:rsid w:val="000A4C73"/>
    <w:rsid w:val="000A4F5D"/>
    <w:rsid w:val="000B62C2"/>
    <w:rsid w:val="000B7F7D"/>
    <w:rsid w:val="000C40C1"/>
    <w:rsid w:val="000D6BBE"/>
    <w:rsid w:val="000D71A1"/>
    <w:rsid w:val="000F05B6"/>
    <w:rsid w:val="000F3254"/>
    <w:rsid w:val="000F3F6E"/>
    <w:rsid w:val="00107646"/>
    <w:rsid w:val="00107F8A"/>
    <w:rsid w:val="00131EBD"/>
    <w:rsid w:val="00157759"/>
    <w:rsid w:val="00162EC6"/>
    <w:rsid w:val="00184E79"/>
    <w:rsid w:val="00196123"/>
    <w:rsid w:val="001A14C5"/>
    <w:rsid w:val="001A3205"/>
    <w:rsid w:val="001B2AEF"/>
    <w:rsid w:val="001C0739"/>
    <w:rsid w:val="001C3373"/>
    <w:rsid w:val="001C5951"/>
    <w:rsid w:val="001C77AA"/>
    <w:rsid w:val="001D0198"/>
    <w:rsid w:val="001D03CA"/>
    <w:rsid w:val="001D0CD3"/>
    <w:rsid w:val="001D16C6"/>
    <w:rsid w:val="001E317B"/>
    <w:rsid w:val="001E6128"/>
    <w:rsid w:val="001F0337"/>
    <w:rsid w:val="001F1B92"/>
    <w:rsid w:val="001F7935"/>
    <w:rsid w:val="00214DBA"/>
    <w:rsid w:val="00226860"/>
    <w:rsid w:val="00232F24"/>
    <w:rsid w:val="00234400"/>
    <w:rsid w:val="002414D8"/>
    <w:rsid w:val="0024310C"/>
    <w:rsid w:val="002526F3"/>
    <w:rsid w:val="00260481"/>
    <w:rsid w:val="00264CBC"/>
    <w:rsid w:val="00266ADC"/>
    <w:rsid w:val="002778EA"/>
    <w:rsid w:val="00286EF5"/>
    <w:rsid w:val="002A288D"/>
    <w:rsid w:val="002A6A30"/>
    <w:rsid w:val="002B40C2"/>
    <w:rsid w:val="002C38D0"/>
    <w:rsid w:val="002C5252"/>
    <w:rsid w:val="002D0070"/>
    <w:rsid w:val="002D371A"/>
    <w:rsid w:val="002E4736"/>
    <w:rsid w:val="002F176F"/>
    <w:rsid w:val="002F30EF"/>
    <w:rsid w:val="003032F5"/>
    <w:rsid w:val="00322003"/>
    <w:rsid w:val="00331B9E"/>
    <w:rsid w:val="003332F1"/>
    <w:rsid w:val="00352A7B"/>
    <w:rsid w:val="00360ABE"/>
    <w:rsid w:val="0037061E"/>
    <w:rsid w:val="00372881"/>
    <w:rsid w:val="0038176B"/>
    <w:rsid w:val="00381A32"/>
    <w:rsid w:val="00383735"/>
    <w:rsid w:val="0038592D"/>
    <w:rsid w:val="003A0A70"/>
    <w:rsid w:val="003E3238"/>
    <w:rsid w:val="00402BE9"/>
    <w:rsid w:val="00404705"/>
    <w:rsid w:val="0041021C"/>
    <w:rsid w:val="00426890"/>
    <w:rsid w:val="004302FC"/>
    <w:rsid w:val="0044226A"/>
    <w:rsid w:val="004528ED"/>
    <w:rsid w:val="00453A8D"/>
    <w:rsid w:val="004659BD"/>
    <w:rsid w:val="004676F8"/>
    <w:rsid w:val="00467AA8"/>
    <w:rsid w:val="00472502"/>
    <w:rsid w:val="0047371E"/>
    <w:rsid w:val="004739C4"/>
    <w:rsid w:val="00485806"/>
    <w:rsid w:val="00491923"/>
    <w:rsid w:val="004935E2"/>
    <w:rsid w:val="00493DA7"/>
    <w:rsid w:val="0049533B"/>
    <w:rsid w:val="004C415C"/>
    <w:rsid w:val="004D0F1C"/>
    <w:rsid w:val="004D511E"/>
    <w:rsid w:val="004E386C"/>
    <w:rsid w:val="004F08DC"/>
    <w:rsid w:val="004F5CDC"/>
    <w:rsid w:val="00500854"/>
    <w:rsid w:val="00515C6F"/>
    <w:rsid w:val="00535AA8"/>
    <w:rsid w:val="0054206B"/>
    <w:rsid w:val="00552902"/>
    <w:rsid w:val="0055402B"/>
    <w:rsid w:val="00555BEA"/>
    <w:rsid w:val="00557692"/>
    <w:rsid w:val="00570D95"/>
    <w:rsid w:val="00580B07"/>
    <w:rsid w:val="00593720"/>
    <w:rsid w:val="005A2395"/>
    <w:rsid w:val="005A774A"/>
    <w:rsid w:val="005D2986"/>
    <w:rsid w:val="005D32BF"/>
    <w:rsid w:val="005D7E54"/>
    <w:rsid w:val="005E15B2"/>
    <w:rsid w:val="00605A77"/>
    <w:rsid w:val="00606D6E"/>
    <w:rsid w:val="00615017"/>
    <w:rsid w:val="00616C0D"/>
    <w:rsid w:val="00624699"/>
    <w:rsid w:val="00624ED9"/>
    <w:rsid w:val="00625D1B"/>
    <w:rsid w:val="006569DD"/>
    <w:rsid w:val="00661411"/>
    <w:rsid w:val="006653FC"/>
    <w:rsid w:val="00672BEE"/>
    <w:rsid w:val="00690DE0"/>
    <w:rsid w:val="00695310"/>
    <w:rsid w:val="006A4610"/>
    <w:rsid w:val="006B6741"/>
    <w:rsid w:val="006C78BB"/>
    <w:rsid w:val="006D050F"/>
    <w:rsid w:val="006D3BF1"/>
    <w:rsid w:val="006D4FCA"/>
    <w:rsid w:val="006E2236"/>
    <w:rsid w:val="006E478E"/>
    <w:rsid w:val="006F222A"/>
    <w:rsid w:val="006F5A3A"/>
    <w:rsid w:val="00702152"/>
    <w:rsid w:val="007121D0"/>
    <w:rsid w:val="00721663"/>
    <w:rsid w:val="00744113"/>
    <w:rsid w:val="007558D7"/>
    <w:rsid w:val="00763E45"/>
    <w:rsid w:val="00771755"/>
    <w:rsid w:val="00772104"/>
    <w:rsid w:val="00774BC8"/>
    <w:rsid w:val="00780A83"/>
    <w:rsid w:val="00791265"/>
    <w:rsid w:val="007A68AD"/>
    <w:rsid w:val="007A777C"/>
    <w:rsid w:val="007B1813"/>
    <w:rsid w:val="007B30A9"/>
    <w:rsid w:val="007B520C"/>
    <w:rsid w:val="007C70EC"/>
    <w:rsid w:val="007E7A46"/>
    <w:rsid w:val="008024C9"/>
    <w:rsid w:val="00803BF0"/>
    <w:rsid w:val="00810456"/>
    <w:rsid w:val="0082057A"/>
    <w:rsid w:val="008334F5"/>
    <w:rsid w:val="00845E58"/>
    <w:rsid w:val="00852028"/>
    <w:rsid w:val="0085470E"/>
    <w:rsid w:val="00874C83"/>
    <w:rsid w:val="0088125B"/>
    <w:rsid w:val="00897B0C"/>
    <w:rsid w:val="008A6B41"/>
    <w:rsid w:val="008B15BA"/>
    <w:rsid w:val="008C22E2"/>
    <w:rsid w:val="008D0A3C"/>
    <w:rsid w:val="008F388A"/>
    <w:rsid w:val="008F6149"/>
    <w:rsid w:val="009039C8"/>
    <w:rsid w:val="00906B75"/>
    <w:rsid w:val="009124C4"/>
    <w:rsid w:val="0092572B"/>
    <w:rsid w:val="00943FA9"/>
    <w:rsid w:val="0094536F"/>
    <w:rsid w:val="00977800"/>
    <w:rsid w:val="0098511D"/>
    <w:rsid w:val="009B23C6"/>
    <w:rsid w:val="009B7254"/>
    <w:rsid w:val="009C034C"/>
    <w:rsid w:val="009C2B81"/>
    <w:rsid w:val="009C4466"/>
    <w:rsid w:val="009D0019"/>
    <w:rsid w:val="009D2BB8"/>
    <w:rsid w:val="009D3602"/>
    <w:rsid w:val="009D7E22"/>
    <w:rsid w:val="009E456E"/>
    <w:rsid w:val="009F00AF"/>
    <w:rsid w:val="00A03CE0"/>
    <w:rsid w:val="00A04BCB"/>
    <w:rsid w:val="00A050F1"/>
    <w:rsid w:val="00A06A4A"/>
    <w:rsid w:val="00A24594"/>
    <w:rsid w:val="00A45785"/>
    <w:rsid w:val="00A61517"/>
    <w:rsid w:val="00A62F8D"/>
    <w:rsid w:val="00A630A6"/>
    <w:rsid w:val="00A7066C"/>
    <w:rsid w:val="00A75DA0"/>
    <w:rsid w:val="00A8436E"/>
    <w:rsid w:val="00A8474D"/>
    <w:rsid w:val="00A94565"/>
    <w:rsid w:val="00AA5027"/>
    <w:rsid w:val="00AB0C8A"/>
    <w:rsid w:val="00AC1F24"/>
    <w:rsid w:val="00AC335A"/>
    <w:rsid w:val="00AD691E"/>
    <w:rsid w:val="00AE702D"/>
    <w:rsid w:val="00B01F57"/>
    <w:rsid w:val="00B06769"/>
    <w:rsid w:val="00B0797C"/>
    <w:rsid w:val="00B10F22"/>
    <w:rsid w:val="00B11A7E"/>
    <w:rsid w:val="00B14364"/>
    <w:rsid w:val="00B4486D"/>
    <w:rsid w:val="00B4587C"/>
    <w:rsid w:val="00B54825"/>
    <w:rsid w:val="00B55F7C"/>
    <w:rsid w:val="00B63E0B"/>
    <w:rsid w:val="00B71D1E"/>
    <w:rsid w:val="00B7246B"/>
    <w:rsid w:val="00B73016"/>
    <w:rsid w:val="00B84B92"/>
    <w:rsid w:val="00B941DB"/>
    <w:rsid w:val="00B977AB"/>
    <w:rsid w:val="00B97928"/>
    <w:rsid w:val="00BA2344"/>
    <w:rsid w:val="00BA55C4"/>
    <w:rsid w:val="00BB031B"/>
    <w:rsid w:val="00BE6AF8"/>
    <w:rsid w:val="00C0019F"/>
    <w:rsid w:val="00C0023E"/>
    <w:rsid w:val="00C003C0"/>
    <w:rsid w:val="00C1156A"/>
    <w:rsid w:val="00C16EC4"/>
    <w:rsid w:val="00C23535"/>
    <w:rsid w:val="00C257BC"/>
    <w:rsid w:val="00C37176"/>
    <w:rsid w:val="00C42933"/>
    <w:rsid w:val="00C66E3D"/>
    <w:rsid w:val="00C70A3F"/>
    <w:rsid w:val="00C73D19"/>
    <w:rsid w:val="00C7664A"/>
    <w:rsid w:val="00C96DC3"/>
    <w:rsid w:val="00CA5BA0"/>
    <w:rsid w:val="00CC57CD"/>
    <w:rsid w:val="00CD2AF9"/>
    <w:rsid w:val="00CE6391"/>
    <w:rsid w:val="00D05A2B"/>
    <w:rsid w:val="00D11CA5"/>
    <w:rsid w:val="00D13645"/>
    <w:rsid w:val="00D21862"/>
    <w:rsid w:val="00D550D5"/>
    <w:rsid w:val="00D7336A"/>
    <w:rsid w:val="00DA09AD"/>
    <w:rsid w:val="00DB05F1"/>
    <w:rsid w:val="00DB5F2A"/>
    <w:rsid w:val="00DB65D6"/>
    <w:rsid w:val="00DC105A"/>
    <w:rsid w:val="00DC55EF"/>
    <w:rsid w:val="00DD1315"/>
    <w:rsid w:val="00DE25E6"/>
    <w:rsid w:val="00DE5A5C"/>
    <w:rsid w:val="00DE6AB5"/>
    <w:rsid w:val="00DF5E66"/>
    <w:rsid w:val="00DF74E7"/>
    <w:rsid w:val="00E0126B"/>
    <w:rsid w:val="00E12808"/>
    <w:rsid w:val="00E135D9"/>
    <w:rsid w:val="00E15E88"/>
    <w:rsid w:val="00E32AE9"/>
    <w:rsid w:val="00E43715"/>
    <w:rsid w:val="00E4433C"/>
    <w:rsid w:val="00E44B4D"/>
    <w:rsid w:val="00E4590E"/>
    <w:rsid w:val="00E51C51"/>
    <w:rsid w:val="00E66DB6"/>
    <w:rsid w:val="00E828C8"/>
    <w:rsid w:val="00E94C22"/>
    <w:rsid w:val="00E95910"/>
    <w:rsid w:val="00EA3D66"/>
    <w:rsid w:val="00EB06E0"/>
    <w:rsid w:val="00EC4BDD"/>
    <w:rsid w:val="00ED7190"/>
    <w:rsid w:val="00EE1009"/>
    <w:rsid w:val="00EE4D47"/>
    <w:rsid w:val="00F0766A"/>
    <w:rsid w:val="00F14988"/>
    <w:rsid w:val="00F2256E"/>
    <w:rsid w:val="00F30115"/>
    <w:rsid w:val="00F31196"/>
    <w:rsid w:val="00F3148D"/>
    <w:rsid w:val="00F35188"/>
    <w:rsid w:val="00F573CF"/>
    <w:rsid w:val="00F64485"/>
    <w:rsid w:val="00F74948"/>
    <w:rsid w:val="00F750F7"/>
    <w:rsid w:val="00F85FDA"/>
    <w:rsid w:val="00F96385"/>
    <w:rsid w:val="00F96D81"/>
    <w:rsid w:val="00FC2F02"/>
    <w:rsid w:val="00FC417C"/>
    <w:rsid w:val="00FE5A4C"/>
    <w:rsid w:val="00FF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EC8FE78-07C3-435C-8EE8-CE9A5A779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4BCB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04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04BCB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A04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4BCB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04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4BCB"/>
    <w:rPr>
      <w:rFonts w:ascii="Tahoma" w:eastAsia="Calibri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1D16C6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C5951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C5951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1C5951"/>
    <w:rPr>
      <w:vertAlign w:val="superscript"/>
    </w:rPr>
  </w:style>
  <w:style w:type="paragraph" w:styleId="Prrafodelista">
    <w:name w:val="List Paragraph"/>
    <w:basedOn w:val="Normal"/>
    <w:uiPriority w:val="34"/>
    <w:qFormat/>
    <w:rsid w:val="001C595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Mencionar1">
    <w:name w:val="Mencionar1"/>
    <w:basedOn w:val="Fuentedeprrafopredeter"/>
    <w:uiPriority w:val="99"/>
    <w:semiHidden/>
    <w:unhideWhenUsed/>
    <w:rsid w:val="007C70EC"/>
    <w:rPr>
      <w:color w:val="2B579A"/>
      <w:shd w:val="clear" w:color="auto" w:fill="E6E6E6"/>
    </w:rPr>
  </w:style>
  <w:style w:type="paragraph" w:customStyle="1" w:styleId="corte4fondo">
    <w:name w:val="corte4 fondo"/>
    <w:basedOn w:val="Normal"/>
    <w:link w:val="corte4fondoCar1"/>
    <w:qFormat/>
    <w:rsid w:val="00E94C22"/>
    <w:pPr>
      <w:spacing w:after="0" w:line="360" w:lineRule="auto"/>
      <w:ind w:firstLine="709"/>
      <w:jc w:val="both"/>
    </w:pPr>
    <w:rPr>
      <w:rFonts w:ascii="Arial" w:eastAsia="Times New Roman" w:hAnsi="Arial"/>
      <w:sz w:val="30"/>
      <w:szCs w:val="20"/>
      <w:lang w:eastAsia="es-MX"/>
    </w:rPr>
  </w:style>
  <w:style w:type="character" w:customStyle="1" w:styleId="corte4fondoCar1">
    <w:name w:val="corte4 fondo Car1"/>
    <w:link w:val="corte4fondo"/>
    <w:rsid w:val="00E94C22"/>
    <w:rPr>
      <w:rFonts w:ascii="Arial" w:eastAsia="Times New Roman" w:hAnsi="Arial" w:cs="Times New Roman"/>
      <w:sz w:val="30"/>
      <w:szCs w:val="20"/>
      <w:lang w:eastAsia="es-MX"/>
    </w:rPr>
  </w:style>
  <w:style w:type="paragraph" w:styleId="NormalWeb">
    <w:name w:val="Normal (Web)"/>
    <w:basedOn w:val="Normal"/>
    <w:uiPriority w:val="99"/>
    <w:rsid w:val="00352A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943FA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45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7C846A-37BC-40EF-AFC6-1F992833A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695</Words>
  <Characters>3828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</dc:creator>
  <cp:lastModifiedBy>cegaip@outlook.com</cp:lastModifiedBy>
  <cp:revision>2</cp:revision>
  <cp:lastPrinted>2017-11-27T18:27:00Z</cp:lastPrinted>
  <dcterms:created xsi:type="dcterms:W3CDTF">2018-02-09T18:10:00Z</dcterms:created>
  <dcterms:modified xsi:type="dcterms:W3CDTF">2018-02-09T18:10:00Z</dcterms:modified>
</cp:coreProperties>
</file>